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DF9" w:rsidRDefault="00B53DF9" w:rsidP="006D4AA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2822448" cy="6736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_mathscience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448" cy="673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DF9" w:rsidRDefault="00B53DF9" w:rsidP="006D4AAE">
      <w:pPr>
        <w:jc w:val="center"/>
        <w:rPr>
          <w:b/>
          <w:sz w:val="36"/>
          <w:szCs w:val="36"/>
        </w:rPr>
      </w:pPr>
    </w:p>
    <w:p w:rsidR="00701E08" w:rsidRDefault="006D4AAE" w:rsidP="006D4A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First Year Engineering </w:t>
      </w:r>
      <w:r w:rsidR="0059781E">
        <w:rPr>
          <w:b/>
          <w:sz w:val="36"/>
          <w:szCs w:val="36"/>
        </w:rPr>
        <w:t>Program</w:t>
      </w:r>
    </w:p>
    <w:p w:rsidR="006D4AAE" w:rsidRDefault="006D4AAE" w:rsidP="006D4AAE">
      <w:pPr>
        <w:rPr>
          <w:rFonts w:ascii="Times New Roman" w:hAnsi="Times New Roman"/>
          <w:sz w:val="28"/>
          <w:szCs w:val="28"/>
        </w:rPr>
      </w:pPr>
    </w:p>
    <w:p w:rsidR="006D4AAE" w:rsidRPr="00EF08AF" w:rsidRDefault="006D4AAE" w:rsidP="006D4AAE">
      <w:pPr>
        <w:rPr>
          <w:rFonts w:ascii="Times New Roman" w:hAnsi="Times New Roman"/>
          <w:sz w:val="26"/>
          <w:szCs w:val="26"/>
        </w:rPr>
      </w:pPr>
    </w:p>
    <w:p w:rsidR="006D4AAE" w:rsidRPr="00EF08AF" w:rsidRDefault="006D4AAE" w:rsidP="006D4AAE">
      <w:pPr>
        <w:ind w:firstLine="720"/>
        <w:rPr>
          <w:rFonts w:ascii="Times New Roman" w:hAnsi="Times New Roman"/>
          <w:sz w:val="26"/>
          <w:szCs w:val="26"/>
        </w:rPr>
      </w:pPr>
      <w:r w:rsidRPr="00EF08AF">
        <w:rPr>
          <w:rFonts w:ascii="Times New Roman" w:hAnsi="Times New Roman"/>
          <w:sz w:val="26"/>
          <w:szCs w:val="26"/>
        </w:rPr>
        <w:t>Marian University Dual Degree Engineering Program students take the following courses in their first year of study.  Every course is required</w:t>
      </w:r>
      <w:r w:rsidR="00F52EE0" w:rsidRPr="00EF08AF">
        <w:rPr>
          <w:rFonts w:ascii="Times New Roman" w:hAnsi="Times New Roman"/>
          <w:sz w:val="26"/>
          <w:szCs w:val="26"/>
        </w:rPr>
        <w:t>.  A</w:t>
      </w:r>
      <w:r w:rsidRPr="00EF08AF">
        <w:rPr>
          <w:rFonts w:ascii="Times New Roman" w:hAnsi="Times New Roman"/>
          <w:sz w:val="26"/>
          <w:szCs w:val="26"/>
        </w:rPr>
        <w:t xml:space="preserve"> student with some form of outside credit for one or more of these will take </w:t>
      </w:r>
      <w:r w:rsidR="001E238C" w:rsidRPr="00EF08AF">
        <w:rPr>
          <w:rFonts w:ascii="Times New Roman" w:hAnsi="Times New Roman"/>
          <w:sz w:val="26"/>
          <w:szCs w:val="26"/>
        </w:rPr>
        <w:t xml:space="preserve">general education courses assigned by the engineering advisor, </w:t>
      </w:r>
      <w:r w:rsidR="00B53DF9" w:rsidRPr="00EF08AF">
        <w:rPr>
          <w:rFonts w:ascii="Times New Roman" w:hAnsi="Times New Roman"/>
          <w:sz w:val="26"/>
          <w:szCs w:val="26"/>
        </w:rPr>
        <w:t xml:space="preserve">selected </w:t>
      </w:r>
      <w:r w:rsidR="001E238C" w:rsidRPr="00EF08AF">
        <w:rPr>
          <w:rFonts w:ascii="Times New Roman" w:hAnsi="Times New Roman"/>
          <w:sz w:val="26"/>
          <w:szCs w:val="26"/>
        </w:rPr>
        <w:t>to maximize the common experience and offer the greatest opportunity for mutual support within the cohort.</w:t>
      </w:r>
    </w:p>
    <w:p w:rsidR="006D4AAE" w:rsidRPr="00EF08AF" w:rsidRDefault="006D4AAE">
      <w:pPr>
        <w:rPr>
          <w:sz w:val="26"/>
          <w:szCs w:val="26"/>
        </w:rPr>
      </w:pPr>
    </w:p>
    <w:p w:rsidR="006D4AAE" w:rsidRPr="00EF08AF" w:rsidRDefault="001E238C">
      <w:pPr>
        <w:rPr>
          <w:b/>
          <w:sz w:val="26"/>
          <w:szCs w:val="26"/>
        </w:rPr>
      </w:pPr>
      <w:r w:rsidRPr="00EF08AF">
        <w:rPr>
          <w:sz w:val="26"/>
          <w:szCs w:val="26"/>
        </w:rPr>
        <w:tab/>
      </w:r>
      <w:r w:rsidRPr="00EF08AF">
        <w:rPr>
          <w:sz w:val="26"/>
          <w:szCs w:val="26"/>
        </w:rPr>
        <w:tab/>
      </w:r>
      <w:r w:rsidRPr="00EF08AF">
        <w:rPr>
          <w:b/>
          <w:sz w:val="26"/>
          <w:szCs w:val="26"/>
        </w:rPr>
        <w:t>Fall</w:t>
      </w:r>
      <w:r w:rsidRPr="00EF08AF">
        <w:rPr>
          <w:b/>
          <w:sz w:val="26"/>
          <w:szCs w:val="26"/>
        </w:rPr>
        <w:tab/>
      </w:r>
      <w:r w:rsidRPr="00EF08AF">
        <w:rPr>
          <w:b/>
          <w:sz w:val="26"/>
          <w:szCs w:val="26"/>
        </w:rPr>
        <w:tab/>
      </w:r>
      <w:r w:rsidRPr="00EF08AF">
        <w:rPr>
          <w:b/>
          <w:sz w:val="26"/>
          <w:szCs w:val="26"/>
        </w:rPr>
        <w:tab/>
      </w:r>
      <w:r w:rsidRPr="00EF08AF">
        <w:rPr>
          <w:b/>
          <w:sz w:val="26"/>
          <w:szCs w:val="26"/>
        </w:rPr>
        <w:tab/>
      </w:r>
      <w:r w:rsidRPr="00EF08AF">
        <w:rPr>
          <w:b/>
          <w:sz w:val="26"/>
          <w:szCs w:val="26"/>
        </w:rPr>
        <w:tab/>
      </w:r>
      <w:r w:rsidRPr="00EF08AF">
        <w:rPr>
          <w:b/>
          <w:sz w:val="26"/>
          <w:szCs w:val="26"/>
        </w:rPr>
        <w:tab/>
      </w:r>
      <w:r w:rsidRPr="00EF08AF">
        <w:rPr>
          <w:b/>
          <w:sz w:val="26"/>
          <w:szCs w:val="26"/>
        </w:rPr>
        <w:tab/>
      </w:r>
      <w:proofErr w:type="gramStart"/>
      <w:r w:rsidRPr="00EF08AF">
        <w:rPr>
          <w:b/>
          <w:sz w:val="26"/>
          <w:szCs w:val="26"/>
        </w:rPr>
        <w:t>Spring</w:t>
      </w:r>
      <w:proofErr w:type="gramEnd"/>
    </w:p>
    <w:tbl>
      <w:tblPr>
        <w:tblStyle w:val="TableGrid"/>
        <w:tblW w:w="9360" w:type="dxa"/>
        <w:tblLook w:val="00A0" w:firstRow="1" w:lastRow="0" w:firstColumn="1" w:lastColumn="0" w:noHBand="0" w:noVBand="0"/>
      </w:tblPr>
      <w:tblGrid>
        <w:gridCol w:w="1318"/>
        <w:gridCol w:w="2547"/>
        <w:gridCol w:w="720"/>
        <w:gridCol w:w="1350"/>
        <w:gridCol w:w="2700"/>
        <w:gridCol w:w="725"/>
      </w:tblGrid>
      <w:tr w:rsidR="001E238C" w:rsidRPr="00EF08AF" w:rsidTr="00B53DF9">
        <w:tc>
          <w:tcPr>
            <w:tcW w:w="1318" w:type="dxa"/>
          </w:tcPr>
          <w:p w:rsidR="001E238C" w:rsidRPr="00EF08AF" w:rsidRDefault="001E238C" w:rsidP="00B53DF9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EF08AF">
              <w:rPr>
                <w:rFonts w:asciiTheme="minorHAnsi" w:hAnsiTheme="minorHAnsi"/>
                <w:b/>
                <w:sz w:val="26"/>
                <w:szCs w:val="26"/>
              </w:rPr>
              <w:t>Number</w:t>
            </w:r>
          </w:p>
        </w:tc>
        <w:tc>
          <w:tcPr>
            <w:tcW w:w="2547" w:type="dxa"/>
          </w:tcPr>
          <w:p w:rsidR="001E238C" w:rsidRPr="00EF08AF" w:rsidRDefault="001E238C" w:rsidP="00B53DF9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EF08AF">
              <w:rPr>
                <w:rFonts w:asciiTheme="minorHAnsi" w:hAnsiTheme="minorHAnsi"/>
                <w:b/>
                <w:sz w:val="26"/>
                <w:szCs w:val="26"/>
              </w:rPr>
              <w:t>Title</w:t>
            </w:r>
          </w:p>
        </w:tc>
        <w:tc>
          <w:tcPr>
            <w:tcW w:w="720" w:type="dxa"/>
          </w:tcPr>
          <w:p w:rsidR="001E238C" w:rsidRPr="00EF08AF" w:rsidRDefault="001E238C" w:rsidP="00B53DF9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EF08AF">
              <w:rPr>
                <w:rFonts w:asciiTheme="minorHAnsi" w:hAnsiTheme="minorHAnsi"/>
                <w:b/>
                <w:sz w:val="26"/>
                <w:szCs w:val="26"/>
              </w:rPr>
              <w:t>Cr. Hrs.</w:t>
            </w:r>
          </w:p>
        </w:tc>
        <w:tc>
          <w:tcPr>
            <w:tcW w:w="1350" w:type="dxa"/>
          </w:tcPr>
          <w:p w:rsidR="001E238C" w:rsidRPr="00EF08AF" w:rsidRDefault="001E238C" w:rsidP="00B53DF9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EF08AF">
              <w:rPr>
                <w:rFonts w:asciiTheme="minorHAnsi" w:hAnsiTheme="minorHAnsi"/>
                <w:b/>
                <w:sz w:val="26"/>
                <w:szCs w:val="26"/>
              </w:rPr>
              <w:t>Number</w:t>
            </w:r>
          </w:p>
        </w:tc>
        <w:tc>
          <w:tcPr>
            <w:tcW w:w="2700" w:type="dxa"/>
          </w:tcPr>
          <w:p w:rsidR="001E238C" w:rsidRPr="00EF08AF" w:rsidRDefault="001E238C" w:rsidP="00B53DF9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EF08AF">
              <w:rPr>
                <w:rFonts w:asciiTheme="minorHAnsi" w:hAnsiTheme="minorHAnsi"/>
                <w:b/>
                <w:sz w:val="26"/>
                <w:szCs w:val="26"/>
              </w:rPr>
              <w:t>Title</w:t>
            </w:r>
          </w:p>
        </w:tc>
        <w:tc>
          <w:tcPr>
            <w:tcW w:w="725" w:type="dxa"/>
          </w:tcPr>
          <w:p w:rsidR="001E238C" w:rsidRPr="00EF08AF" w:rsidRDefault="001E238C" w:rsidP="00B53DF9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EF08AF">
              <w:rPr>
                <w:rFonts w:asciiTheme="minorHAnsi" w:hAnsiTheme="minorHAnsi"/>
                <w:b/>
                <w:sz w:val="26"/>
                <w:szCs w:val="26"/>
              </w:rPr>
              <w:t>Cr. Hrs.</w:t>
            </w:r>
          </w:p>
        </w:tc>
      </w:tr>
      <w:tr w:rsidR="00EF08AF" w:rsidRPr="00EF08AF" w:rsidTr="00B53DF9">
        <w:tc>
          <w:tcPr>
            <w:tcW w:w="1318" w:type="dxa"/>
          </w:tcPr>
          <w:p w:rsidR="001E238C" w:rsidRPr="00EF08AF" w:rsidRDefault="001E238C" w:rsidP="001E238C">
            <w:pPr>
              <w:rPr>
                <w:rFonts w:asciiTheme="minorHAnsi" w:hAnsiTheme="minorHAnsi"/>
                <w:sz w:val="26"/>
                <w:szCs w:val="26"/>
              </w:rPr>
            </w:pPr>
            <w:r w:rsidRPr="00EF08AF">
              <w:rPr>
                <w:rFonts w:asciiTheme="minorHAnsi" w:hAnsiTheme="minorHAnsi"/>
                <w:sz w:val="26"/>
                <w:szCs w:val="26"/>
              </w:rPr>
              <w:t>MAT 230</w:t>
            </w:r>
          </w:p>
        </w:tc>
        <w:tc>
          <w:tcPr>
            <w:tcW w:w="2547" w:type="dxa"/>
          </w:tcPr>
          <w:p w:rsidR="001E238C" w:rsidRPr="00EF08AF" w:rsidRDefault="001E238C" w:rsidP="001E238C">
            <w:pPr>
              <w:rPr>
                <w:rFonts w:asciiTheme="minorHAnsi" w:hAnsiTheme="minorHAnsi"/>
                <w:sz w:val="26"/>
                <w:szCs w:val="26"/>
              </w:rPr>
            </w:pPr>
            <w:r w:rsidRPr="00EF08AF">
              <w:rPr>
                <w:rFonts w:asciiTheme="minorHAnsi" w:hAnsiTheme="minorHAnsi"/>
                <w:sz w:val="26"/>
                <w:szCs w:val="26"/>
              </w:rPr>
              <w:t>Calculus I</w:t>
            </w:r>
          </w:p>
        </w:tc>
        <w:tc>
          <w:tcPr>
            <w:tcW w:w="720" w:type="dxa"/>
          </w:tcPr>
          <w:p w:rsidR="001E238C" w:rsidRPr="00EF08AF" w:rsidRDefault="001E238C" w:rsidP="001E238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F08AF">
              <w:rPr>
                <w:rFonts w:asciiTheme="minorHAnsi" w:hAnsiTheme="minorHAnsi"/>
                <w:sz w:val="26"/>
                <w:szCs w:val="26"/>
              </w:rPr>
              <w:t>4</w:t>
            </w:r>
          </w:p>
        </w:tc>
        <w:tc>
          <w:tcPr>
            <w:tcW w:w="1350" w:type="dxa"/>
          </w:tcPr>
          <w:p w:rsidR="001E238C" w:rsidRPr="00EF08AF" w:rsidRDefault="001E238C" w:rsidP="001E238C">
            <w:pPr>
              <w:rPr>
                <w:rFonts w:asciiTheme="minorHAnsi" w:hAnsiTheme="minorHAnsi"/>
                <w:sz w:val="26"/>
                <w:szCs w:val="26"/>
              </w:rPr>
            </w:pPr>
            <w:r w:rsidRPr="00EF08AF">
              <w:rPr>
                <w:rFonts w:asciiTheme="minorHAnsi" w:hAnsiTheme="minorHAnsi"/>
                <w:sz w:val="26"/>
                <w:szCs w:val="26"/>
              </w:rPr>
              <w:t>MAT 231</w:t>
            </w:r>
          </w:p>
        </w:tc>
        <w:tc>
          <w:tcPr>
            <w:tcW w:w="2700" w:type="dxa"/>
          </w:tcPr>
          <w:p w:rsidR="001E238C" w:rsidRPr="00EF08AF" w:rsidRDefault="001E238C" w:rsidP="001E238C">
            <w:pPr>
              <w:rPr>
                <w:rFonts w:asciiTheme="minorHAnsi" w:hAnsiTheme="minorHAnsi"/>
                <w:sz w:val="26"/>
                <w:szCs w:val="26"/>
              </w:rPr>
            </w:pPr>
            <w:r w:rsidRPr="00EF08AF">
              <w:rPr>
                <w:rFonts w:asciiTheme="minorHAnsi" w:hAnsiTheme="minorHAnsi"/>
                <w:sz w:val="26"/>
                <w:szCs w:val="26"/>
              </w:rPr>
              <w:t>Calculus II</w:t>
            </w:r>
          </w:p>
        </w:tc>
        <w:tc>
          <w:tcPr>
            <w:tcW w:w="725" w:type="dxa"/>
          </w:tcPr>
          <w:p w:rsidR="001E238C" w:rsidRPr="00EF08AF" w:rsidRDefault="001E238C" w:rsidP="001E238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F08AF">
              <w:rPr>
                <w:rFonts w:asciiTheme="minorHAnsi" w:hAnsiTheme="minorHAnsi"/>
                <w:sz w:val="26"/>
                <w:szCs w:val="26"/>
              </w:rPr>
              <w:t>4</w:t>
            </w:r>
          </w:p>
        </w:tc>
      </w:tr>
      <w:tr w:rsidR="00EF08AF" w:rsidRPr="00EF08AF" w:rsidTr="00B53DF9">
        <w:tc>
          <w:tcPr>
            <w:tcW w:w="1318" w:type="dxa"/>
          </w:tcPr>
          <w:p w:rsidR="001E238C" w:rsidRPr="00EF08AF" w:rsidRDefault="001E238C" w:rsidP="001E238C">
            <w:pPr>
              <w:rPr>
                <w:rFonts w:asciiTheme="minorHAnsi" w:hAnsiTheme="minorHAnsi"/>
                <w:sz w:val="26"/>
                <w:szCs w:val="26"/>
              </w:rPr>
            </w:pPr>
            <w:r w:rsidRPr="00EF08AF">
              <w:rPr>
                <w:rFonts w:asciiTheme="minorHAnsi" w:hAnsiTheme="minorHAnsi"/>
                <w:sz w:val="26"/>
                <w:szCs w:val="26"/>
              </w:rPr>
              <w:t>CHE 151</w:t>
            </w:r>
          </w:p>
        </w:tc>
        <w:tc>
          <w:tcPr>
            <w:tcW w:w="2547" w:type="dxa"/>
          </w:tcPr>
          <w:p w:rsidR="001E238C" w:rsidRPr="00EF08AF" w:rsidRDefault="001E238C" w:rsidP="001E238C">
            <w:pPr>
              <w:rPr>
                <w:rFonts w:asciiTheme="minorHAnsi" w:hAnsiTheme="minorHAnsi"/>
                <w:sz w:val="26"/>
                <w:szCs w:val="26"/>
              </w:rPr>
            </w:pPr>
            <w:r w:rsidRPr="00EF08AF">
              <w:rPr>
                <w:rFonts w:asciiTheme="minorHAnsi" w:hAnsiTheme="minorHAnsi"/>
                <w:sz w:val="26"/>
                <w:szCs w:val="26"/>
              </w:rPr>
              <w:t>General Chemistry I</w:t>
            </w:r>
          </w:p>
        </w:tc>
        <w:tc>
          <w:tcPr>
            <w:tcW w:w="720" w:type="dxa"/>
          </w:tcPr>
          <w:p w:rsidR="001E238C" w:rsidRPr="00EF08AF" w:rsidRDefault="001E238C" w:rsidP="001E238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F08AF">
              <w:rPr>
                <w:rFonts w:asciiTheme="minorHAnsi" w:hAnsiTheme="minorHAnsi"/>
                <w:sz w:val="26"/>
                <w:szCs w:val="26"/>
              </w:rPr>
              <w:t>4</w:t>
            </w:r>
          </w:p>
        </w:tc>
        <w:tc>
          <w:tcPr>
            <w:tcW w:w="1350" w:type="dxa"/>
          </w:tcPr>
          <w:p w:rsidR="001E238C" w:rsidRPr="00EF08AF" w:rsidRDefault="001E238C" w:rsidP="001E238C">
            <w:pPr>
              <w:rPr>
                <w:rFonts w:asciiTheme="minorHAnsi" w:hAnsiTheme="minorHAnsi"/>
                <w:sz w:val="26"/>
                <w:szCs w:val="26"/>
              </w:rPr>
            </w:pPr>
            <w:r w:rsidRPr="00EF08AF">
              <w:rPr>
                <w:rFonts w:asciiTheme="minorHAnsi" w:hAnsiTheme="minorHAnsi"/>
                <w:sz w:val="26"/>
                <w:szCs w:val="26"/>
              </w:rPr>
              <w:t>CHE 152</w:t>
            </w:r>
          </w:p>
        </w:tc>
        <w:tc>
          <w:tcPr>
            <w:tcW w:w="2700" w:type="dxa"/>
          </w:tcPr>
          <w:p w:rsidR="001E238C" w:rsidRPr="00EF08AF" w:rsidRDefault="001E238C" w:rsidP="001E238C">
            <w:pPr>
              <w:rPr>
                <w:rFonts w:asciiTheme="minorHAnsi" w:hAnsiTheme="minorHAnsi"/>
                <w:sz w:val="26"/>
                <w:szCs w:val="26"/>
              </w:rPr>
            </w:pPr>
            <w:r w:rsidRPr="00EF08AF">
              <w:rPr>
                <w:rFonts w:asciiTheme="minorHAnsi" w:hAnsiTheme="minorHAnsi"/>
                <w:sz w:val="26"/>
                <w:szCs w:val="26"/>
              </w:rPr>
              <w:t>General Chemistry II</w:t>
            </w:r>
          </w:p>
        </w:tc>
        <w:tc>
          <w:tcPr>
            <w:tcW w:w="725" w:type="dxa"/>
          </w:tcPr>
          <w:p w:rsidR="001E238C" w:rsidRPr="00EF08AF" w:rsidRDefault="001E238C" w:rsidP="001E238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F08AF">
              <w:rPr>
                <w:rFonts w:asciiTheme="minorHAnsi" w:hAnsiTheme="minorHAnsi"/>
                <w:sz w:val="26"/>
                <w:szCs w:val="26"/>
              </w:rPr>
              <w:t>4</w:t>
            </w:r>
          </w:p>
        </w:tc>
      </w:tr>
      <w:tr w:rsidR="00EF08AF" w:rsidRPr="00EF08AF" w:rsidTr="00B53DF9">
        <w:tc>
          <w:tcPr>
            <w:tcW w:w="1318" w:type="dxa"/>
          </w:tcPr>
          <w:p w:rsidR="001E238C" w:rsidRPr="00EF08AF" w:rsidRDefault="001E238C" w:rsidP="001E238C">
            <w:pPr>
              <w:rPr>
                <w:rFonts w:asciiTheme="minorHAnsi" w:hAnsiTheme="minorHAnsi"/>
                <w:sz w:val="26"/>
                <w:szCs w:val="26"/>
              </w:rPr>
            </w:pPr>
            <w:r w:rsidRPr="00EF08AF">
              <w:rPr>
                <w:rFonts w:asciiTheme="minorHAnsi" w:hAnsiTheme="minorHAnsi"/>
                <w:sz w:val="26"/>
                <w:szCs w:val="26"/>
              </w:rPr>
              <w:t>ENG 101</w:t>
            </w:r>
          </w:p>
        </w:tc>
        <w:tc>
          <w:tcPr>
            <w:tcW w:w="2547" w:type="dxa"/>
          </w:tcPr>
          <w:p w:rsidR="001E238C" w:rsidRPr="00EF08AF" w:rsidRDefault="001E238C" w:rsidP="001E238C">
            <w:pPr>
              <w:rPr>
                <w:rFonts w:asciiTheme="minorHAnsi" w:hAnsiTheme="minorHAnsi"/>
                <w:sz w:val="26"/>
                <w:szCs w:val="26"/>
              </w:rPr>
            </w:pPr>
            <w:r w:rsidRPr="00EF08AF">
              <w:rPr>
                <w:rFonts w:asciiTheme="minorHAnsi" w:hAnsiTheme="minorHAnsi"/>
                <w:sz w:val="26"/>
                <w:szCs w:val="26"/>
              </w:rPr>
              <w:t>English Composition</w:t>
            </w:r>
          </w:p>
        </w:tc>
        <w:tc>
          <w:tcPr>
            <w:tcW w:w="720" w:type="dxa"/>
          </w:tcPr>
          <w:p w:rsidR="001E238C" w:rsidRPr="00EF08AF" w:rsidRDefault="001E238C" w:rsidP="001E238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F08AF">
              <w:rPr>
                <w:rFonts w:asciiTheme="minorHAnsi" w:hAnsiTheme="minorHAnsi"/>
                <w:sz w:val="26"/>
                <w:szCs w:val="26"/>
              </w:rPr>
              <w:t>3</w:t>
            </w:r>
          </w:p>
        </w:tc>
        <w:tc>
          <w:tcPr>
            <w:tcW w:w="1350" w:type="dxa"/>
          </w:tcPr>
          <w:p w:rsidR="001E238C" w:rsidRPr="00EF08AF" w:rsidRDefault="001E238C" w:rsidP="001E238C">
            <w:pPr>
              <w:rPr>
                <w:rFonts w:asciiTheme="minorHAnsi" w:hAnsiTheme="minorHAnsi"/>
                <w:sz w:val="26"/>
                <w:szCs w:val="26"/>
              </w:rPr>
            </w:pPr>
            <w:r w:rsidRPr="00EF08AF">
              <w:rPr>
                <w:rFonts w:asciiTheme="minorHAnsi" w:hAnsiTheme="minorHAnsi"/>
                <w:sz w:val="26"/>
                <w:szCs w:val="26"/>
              </w:rPr>
              <w:t>PHY 201</w:t>
            </w:r>
          </w:p>
        </w:tc>
        <w:tc>
          <w:tcPr>
            <w:tcW w:w="2700" w:type="dxa"/>
          </w:tcPr>
          <w:p w:rsidR="001E238C" w:rsidRPr="00EF08AF" w:rsidRDefault="001E238C" w:rsidP="001E238C">
            <w:pPr>
              <w:rPr>
                <w:rFonts w:asciiTheme="minorHAnsi" w:hAnsiTheme="minorHAnsi"/>
                <w:sz w:val="26"/>
                <w:szCs w:val="26"/>
              </w:rPr>
            </w:pPr>
            <w:r w:rsidRPr="00EF08AF">
              <w:rPr>
                <w:rFonts w:asciiTheme="minorHAnsi" w:hAnsiTheme="minorHAnsi"/>
                <w:sz w:val="26"/>
                <w:szCs w:val="26"/>
              </w:rPr>
              <w:t>Physics I - Mechanics</w:t>
            </w:r>
          </w:p>
        </w:tc>
        <w:tc>
          <w:tcPr>
            <w:tcW w:w="725" w:type="dxa"/>
          </w:tcPr>
          <w:p w:rsidR="001E238C" w:rsidRPr="00EF08AF" w:rsidRDefault="001E238C" w:rsidP="001E238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F08AF">
              <w:rPr>
                <w:rFonts w:asciiTheme="minorHAnsi" w:hAnsiTheme="minorHAnsi"/>
                <w:sz w:val="26"/>
                <w:szCs w:val="26"/>
              </w:rPr>
              <w:t>4</w:t>
            </w:r>
          </w:p>
        </w:tc>
      </w:tr>
      <w:tr w:rsidR="00EF08AF" w:rsidRPr="00EF08AF" w:rsidTr="00B53DF9">
        <w:tc>
          <w:tcPr>
            <w:tcW w:w="1318" w:type="dxa"/>
          </w:tcPr>
          <w:p w:rsidR="001E238C" w:rsidRPr="00EF08AF" w:rsidRDefault="001E238C" w:rsidP="001E238C">
            <w:pPr>
              <w:rPr>
                <w:rFonts w:asciiTheme="minorHAnsi" w:hAnsiTheme="minorHAnsi"/>
                <w:sz w:val="26"/>
                <w:szCs w:val="26"/>
              </w:rPr>
            </w:pPr>
            <w:r w:rsidRPr="00EF08AF">
              <w:rPr>
                <w:rFonts w:asciiTheme="minorHAnsi" w:hAnsiTheme="minorHAnsi"/>
                <w:sz w:val="26"/>
                <w:szCs w:val="26"/>
              </w:rPr>
              <w:t>FYS 101</w:t>
            </w:r>
          </w:p>
        </w:tc>
        <w:tc>
          <w:tcPr>
            <w:tcW w:w="2547" w:type="dxa"/>
          </w:tcPr>
          <w:p w:rsidR="001E238C" w:rsidRPr="00EF08AF" w:rsidRDefault="001E238C" w:rsidP="001E238C">
            <w:pPr>
              <w:rPr>
                <w:rFonts w:asciiTheme="minorHAnsi" w:hAnsiTheme="minorHAnsi"/>
                <w:sz w:val="26"/>
                <w:szCs w:val="26"/>
              </w:rPr>
            </w:pPr>
            <w:r w:rsidRPr="00EF08AF">
              <w:rPr>
                <w:rFonts w:asciiTheme="minorHAnsi" w:hAnsiTheme="minorHAnsi"/>
                <w:iCs/>
                <w:sz w:val="26"/>
                <w:szCs w:val="26"/>
              </w:rPr>
              <w:t>First Year Seminar</w:t>
            </w:r>
          </w:p>
        </w:tc>
        <w:tc>
          <w:tcPr>
            <w:tcW w:w="720" w:type="dxa"/>
          </w:tcPr>
          <w:p w:rsidR="001E238C" w:rsidRPr="00EF08AF" w:rsidRDefault="001E238C" w:rsidP="001E238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F08AF">
              <w:rPr>
                <w:rFonts w:asciiTheme="minorHAnsi" w:hAnsiTheme="minorHAnsi"/>
                <w:sz w:val="26"/>
                <w:szCs w:val="26"/>
              </w:rPr>
              <w:t>3</w:t>
            </w:r>
          </w:p>
        </w:tc>
        <w:tc>
          <w:tcPr>
            <w:tcW w:w="1350" w:type="dxa"/>
          </w:tcPr>
          <w:p w:rsidR="001E238C" w:rsidRPr="00EF08AF" w:rsidRDefault="001E238C" w:rsidP="001E238C">
            <w:pPr>
              <w:rPr>
                <w:rFonts w:asciiTheme="minorHAnsi" w:hAnsiTheme="minorHAnsi"/>
                <w:sz w:val="26"/>
                <w:szCs w:val="26"/>
              </w:rPr>
            </w:pPr>
            <w:r w:rsidRPr="00EF08AF">
              <w:rPr>
                <w:rFonts w:asciiTheme="minorHAnsi" w:hAnsiTheme="minorHAnsi"/>
                <w:sz w:val="26"/>
                <w:szCs w:val="26"/>
              </w:rPr>
              <w:t>COM 101</w:t>
            </w:r>
          </w:p>
        </w:tc>
        <w:tc>
          <w:tcPr>
            <w:tcW w:w="2700" w:type="dxa"/>
          </w:tcPr>
          <w:p w:rsidR="001E238C" w:rsidRPr="00EF08AF" w:rsidRDefault="001E238C" w:rsidP="001E238C">
            <w:pPr>
              <w:rPr>
                <w:rFonts w:asciiTheme="minorHAnsi" w:hAnsiTheme="minorHAnsi"/>
                <w:color w:val="FF0000"/>
                <w:sz w:val="26"/>
                <w:szCs w:val="26"/>
              </w:rPr>
            </w:pPr>
            <w:r w:rsidRPr="00EF08AF">
              <w:rPr>
                <w:rFonts w:asciiTheme="minorHAnsi" w:hAnsiTheme="minorHAnsi"/>
                <w:sz w:val="26"/>
                <w:szCs w:val="26"/>
              </w:rPr>
              <w:t>Public Speaking</w:t>
            </w:r>
          </w:p>
        </w:tc>
        <w:tc>
          <w:tcPr>
            <w:tcW w:w="725" w:type="dxa"/>
          </w:tcPr>
          <w:p w:rsidR="001E238C" w:rsidRPr="00EF08AF" w:rsidRDefault="001E238C" w:rsidP="001E238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F08AF">
              <w:rPr>
                <w:rFonts w:asciiTheme="minorHAnsi" w:hAnsiTheme="minorHAnsi"/>
                <w:sz w:val="26"/>
                <w:szCs w:val="26"/>
              </w:rPr>
              <w:t>3</w:t>
            </w:r>
          </w:p>
        </w:tc>
      </w:tr>
      <w:tr w:rsidR="00EF08AF" w:rsidRPr="00EF08AF" w:rsidTr="00B53DF9">
        <w:tc>
          <w:tcPr>
            <w:tcW w:w="1318" w:type="dxa"/>
            <w:tcBorders>
              <w:bottom w:val="single" w:sz="4" w:space="0" w:color="auto"/>
            </w:tcBorders>
          </w:tcPr>
          <w:p w:rsidR="001E238C" w:rsidRPr="00EF08AF" w:rsidRDefault="001E238C" w:rsidP="001E238C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 w:rsidRPr="00EF08AF">
              <w:rPr>
                <w:rFonts w:asciiTheme="minorHAnsi" w:hAnsiTheme="minorHAnsi"/>
                <w:i/>
                <w:sz w:val="26"/>
                <w:szCs w:val="26"/>
              </w:rPr>
              <w:t>ENGR 196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1E238C" w:rsidRPr="00EF08AF" w:rsidRDefault="001E238C" w:rsidP="001E238C">
            <w:pPr>
              <w:rPr>
                <w:rFonts w:asciiTheme="minorHAnsi" w:hAnsiTheme="minorHAnsi"/>
                <w:sz w:val="26"/>
                <w:szCs w:val="26"/>
              </w:rPr>
            </w:pPr>
            <w:r w:rsidRPr="00EF08AF">
              <w:rPr>
                <w:rFonts w:asciiTheme="minorHAnsi" w:hAnsiTheme="minorHAnsi"/>
                <w:i/>
                <w:iCs/>
                <w:sz w:val="26"/>
                <w:szCs w:val="26"/>
              </w:rPr>
              <w:t>Engineering Problem Solving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E238C" w:rsidRPr="00EF08AF" w:rsidRDefault="001E238C" w:rsidP="001E238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F08AF">
              <w:rPr>
                <w:rFonts w:asciiTheme="minorHAnsi" w:hAnsiTheme="minorHAnsi"/>
                <w:sz w:val="26"/>
                <w:szCs w:val="26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E238C" w:rsidRPr="00EF08AF" w:rsidRDefault="001E238C" w:rsidP="001E238C">
            <w:pPr>
              <w:rPr>
                <w:rFonts w:asciiTheme="minorHAnsi" w:hAnsiTheme="minorHAnsi"/>
                <w:sz w:val="26"/>
                <w:szCs w:val="26"/>
              </w:rPr>
            </w:pPr>
            <w:r w:rsidRPr="00EF08AF">
              <w:rPr>
                <w:rFonts w:asciiTheme="minorHAnsi" w:hAnsiTheme="minorHAnsi"/>
                <w:sz w:val="26"/>
                <w:szCs w:val="26"/>
              </w:rPr>
              <w:t xml:space="preserve">CSS </w:t>
            </w:r>
            <w:r w:rsidRPr="00EF08AF">
              <w:rPr>
                <w:rFonts w:asciiTheme="minorHAnsi" w:hAnsiTheme="minorHAnsi"/>
                <w:sz w:val="26"/>
                <w:szCs w:val="26"/>
              </w:rPr>
              <w:t>XXX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E238C" w:rsidRPr="00EF08AF" w:rsidRDefault="001E238C" w:rsidP="001E238C">
            <w:pPr>
              <w:rPr>
                <w:rFonts w:asciiTheme="minorHAnsi" w:hAnsiTheme="minorHAnsi"/>
                <w:sz w:val="26"/>
                <w:szCs w:val="26"/>
              </w:rPr>
            </w:pPr>
            <w:r w:rsidRPr="00EF08AF">
              <w:rPr>
                <w:rFonts w:asciiTheme="minorHAnsi" w:hAnsiTheme="minorHAnsi"/>
                <w:i/>
                <w:iCs/>
                <w:sz w:val="26"/>
                <w:szCs w:val="26"/>
              </w:rPr>
              <w:t>Intro to Computing (C and MATLAB)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1E238C" w:rsidRPr="00EF08AF" w:rsidRDefault="001E238C" w:rsidP="001E238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F08AF">
              <w:rPr>
                <w:rFonts w:asciiTheme="minorHAnsi" w:hAnsiTheme="minorHAnsi"/>
                <w:sz w:val="26"/>
                <w:szCs w:val="26"/>
              </w:rPr>
              <w:t>3</w:t>
            </w:r>
          </w:p>
        </w:tc>
      </w:tr>
      <w:tr w:rsidR="00EF08AF" w:rsidRPr="00EF08AF" w:rsidTr="00B53DF9">
        <w:tc>
          <w:tcPr>
            <w:tcW w:w="1318" w:type="dxa"/>
            <w:tcBorders>
              <w:bottom w:val="single" w:sz="4" w:space="0" w:color="auto"/>
            </w:tcBorders>
          </w:tcPr>
          <w:p w:rsidR="001E238C" w:rsidRPr="00D51982" w:rsidRDefault="00D51982" w:rsidP="001E238C">
            <w:pPr>
              <w:rPr>
                <w:rFonts w:asciiTheme="minorHAnsi" w:hAnsiTheme="minorHAnsi"/>
                <w:b/>
                <w:sz w:val="26"/>
                <w:szCs w:val="26"/>
              </w:rPr>
            </w:pPr>
            <w:bookmarkStart w:id="0" w:name="_GoBack"/>
            <w:r w:rsidRPr="00D51982">
              <w:rPr>
                <w:rFonts w:asciiTheme="minorHAnsi" w:hAnsiTheme="minorHAnsi"/>
                <w:b/>
                <w:sz w:val="26"/>
                <w:szCs w:val="26"/>
              </w:rPr>
              <w:t>Total</w:t>
            </w:r>
            <w:bookmarkEnd w:id="0"/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1E238C" w:rsidRPr="00EF08AF" w:rsidRDefault="001E238C" w:rsidP="001E238C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E238C" w:rsidRPr="00EF08AF" w:rsidRDefault="001E238C" w:rsidP="001E238C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EF08AF">
              <w:rPr>
                <w:rFonts w:asciiTheme="minorHAnsi" w:hAnsiTheme="minorHAnsi"/>
                <w:b/>
                <w:sz w:val="26"/>
                <w:szCs w:val="26"/>
              </w:rPr>
              <w:t>17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E238C" w:rsidRPr="00EF08AF" w:rsidRDefault="001E238C" w:rsidP="001E238C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E238C" w:rsidRPr="00EF08AF" w:rsidRDefault="001E238C" w:rsidP="001E238C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1E238C" w:rsidRPr="00EF08AF" w:rsidRDefault="001E238C" w:rsidP="001E238C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EF08AF">
              <w:rPr>
                <w:rFonts w:asciiTheme="minorHAnsi" w:hAnsiTheme="minorHAnsi"/>
                <w:b/>
                <w:sz w:val="26"/>
                <w:szCs w:val="26"/>
              </w:rPr>
              <w:t>18</w:t>
            </w:r>
          </w:p>
        </w:tc>
      </w:tr>
    </w:tbl>
    <w:p w:rsidR="0059781E" w:rsidRPr="00EF08AF" w:rsidRDefault="0059781E">
      <w:pPr>
        <w:rPr>
          <w:rFonts w:ascii="Times New Roman" w:hAnsi="Times New Roman"/>
          <w:sz w:val="26"/>
          <w:szCs w:val="26"/>
        </w:rPr>
      </w:pPr>
    </w:p>
    <w:p w:rsidR="006140AA" w:rsidRPr="00EF08AF" w:rsidRDefault="006140AA">
      <w:pPr>
        <w:rPr>
          <w:rFonts w:ascii="Times New Roman" w:hAnsi="Times New Roman"/>
          <w:sz w:val="26"/>
          <w:szCs w:val="26"/>
        </w:rPr>
      </w:pPr>
    </w:p>
    <w:p w:rsidR="006140AA" w:rsidRPr="00EF08AF" w:rsidRDefault="006140AA">
      <w:pPr>
        <w:rPr>
          <w:rFonts w:ascii="Times New Roman" w:hAnsi="Times New Roman"/>
          <w:sz w:val="26"/>
          <w:szCs w:val="26"/>
        </w:rPr>
      </w:pPr>
      <w:r w:rsidRPr="00EF08AF">
        <w:rPr>
          <w:rFonts w:ascii="Times New Roman" w:hAnsi="Times New Roman"/>
          <w:sz w:val="26"/>
          <w:szCs w:val="26"/>
        </w:rPr>
        <w:tab/>
        <w:t xml:space="preserve">During the second year most students will continue with a substantially common course of study including Calculus III, Physics II, </w:t>
      </w:r>
      <w:r w:rsidR="00F52EE0" w:rsidRPr="00EF08AF">
        <w:rPr>
          <w:rFonts w:ascii="Times New Roman" w:hAnsi="Times New Roman"/>
          <w:sz w:val="26"/>
          <w:szCs w:val="26"/>
        </w:rPr>
        <w:t xml:space="preserve">Linear Algebra, Logic and Sets, and Differential Equations.   They also begin to branch out into their individual </w:t>
      </w:r>
      <w:proofErr w:type="gramStart"/>
      <w:r w:rsidR="00F52EE0" w:rsidRPr="00EF08AF">
        <w:rPr>
          <w:rFonts w:ascii="Times New Roman" w:hAnsi="Times New Roman"/>
          <w:sz w:val="26"/>
          <w:szCs w:val="26"/>
        </w:rPr>
        <w:t>majors</w:t>
      </w:r>
      <w:proofErr w:type="gramEnd"/>
      <w:r w:rsidR="00F52EE0" w:rsidRPr="00EF08AF">
        <w:rPr>
          <w:rFonts w:ascii="Times New Roman" w:hAnsi="Times New Roman"/>
          <w:sz w:val="26"/>
          <w:szCs w:val="26"/>
        </w:rPr>
        <w:t xml:space="preserve"> courses as mechanical, electrical, or biomedical engineers.</w:t>
      </w:r>
      <w:r w:rsidR="0059781E" w:rsidRPr="00EF08AF">
        <w:rPr>
          <w:rFonts w:ascii="Times New Roman" w:hAnsi="Times New Roman"/>
          <w:sz w:val="26"/>
          <w:szCs w:val="26"/>
        </w:rPr>
        <w:tab/>
      </w:r>
    </w:p>
    <w:p w:rsidR="006140AA" w:rsidRPr="00EF08AF" w:rsidRDefault="006140AA">
      <w:pPr>
        <w:rPr>
          <w:rFonts w:ascii="Times New Roman" w:hAnsi="Times New Roman"/>
          <w:sz w:val="26"/>
          <w:szCs w:val="26"/>
        </w:rPr>
      </w:pPr>
    </w:p>
    <w:p w:rsidR="000A5574" w:rsidRPr="00EF08AF" w:rsidRDefault="0059781E" w:rsidP="006140AA">
      <w:pPr>
        <w:ind w:firstLine="360"/>
        <w:rPr>
          <w:rFonts w:ascii="Times New Roman" w:hAnsi="Times New Roman"/>
          <w:sz w:val="26"/>
          <w:szCs w:val="26"/>
        </w:rPr>
      </w:pPr>
      <w:r w:rsidRPr="00EF08AF">
        <w:rPr>
          <w:rFonts w:ascii="Times New Roman" w:hAnsi="Times New Roman"/>
          <w:sz w:val="26"/>
          <w:szCs w:val="26"/>
        </w:rPr>
        <w:t xml:space="preserve">Prospective students should understand that the program as built does not have </w:t>
      </w:r>
      <w:r w:rsidR="000A5574" w:rsidRPr="00EF08AF">
        <w:rPr>
          <w:rFonts w:ascii="Times New Roman" w:hAnsi="Times New Roman"/>
          <w:sz w:val="26"/>
          <w:szCs w:val="26"/>
        </w:rPr>
        <w:t xml:space="preserve">any </w:t>
      </w:r>
      <w:proofErr w:type="gramStart"/>
      <w:r w:rsidR="000A5574" w:rsidRPr="00EF08AF">
        <w:rPr>
          <w:rFonts w:ascii="Times New Roman" w:hAnsi="Times New Roman"/>
          <w:sz w:val="26"/>
          <w:szCs w:val="26"/>
        </w:rPr>
        <w:t>notable</w:t>
      </w:r>
      <w:proofErr w:type="gramEnd"/>
      <w:r w:rsidR="000A5574" w:rsidRPr="00EF08AF">
        <w:rPr>
          <w:rFonts w:ascii="Times New Roman" w:hAnsi="Times New Roman"/>
          <w:sz w:val="26"/>
          <w:szCs w:val="26"/>
        </w:rPr>
        <w:t xml:space="preserve"> flexibility.  Specifically, as constructed, it does not have:</w:t>
      </w:r>
    </w:p>
    <w:p w:rsidR="000A5574" w:rsidRPr="00EF08AF" w:rsidRDefault="000A5574">
      <w:pPr>
        <w:rPr>
          <w:rFonts w:ascii="Times New Roman" w:hAnsi="Times New Roman"/>
          <w:sz w:val="26"/>
          <w:szCs w:val="26"/>
        </w:rPr>
      </w:pPr>
    </w:p>
    <w:p w:rsidR="000A5574" w:rsidRPr="00EF08AF" w:rsidRDefault="000A5574" w:rsidP="000A5574">
      <w:pPr>
        <w:pStyle w:val="ListParagraph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EF08AF">
        <w:rPr>
          <w:rFonts w:ascii="Times New Roman" w:hAnsi="Times New Roman"/>
          <w:sz w:val="26"/>
          <w:szCs w:val="26"/>
        </w:rPr>
        <w:t>R</w:t>
      </w:r>
      <w:r w:rsidR="0059781E" w:rsidRPr="00EF08AF">
        <w:rPr>
          <w:rFonts w:ascii="Times New Roman" w:hAnsi="Times New Roman"/>
          <w:sz w:val="26"/>
          <w:szCs w:val="26"/>
        </w:rPr>
        <w:t xml:space="preserve">oom for a minor, or even free electives.  </w:t>
      </w:r>
    </w:p>
    <w:p w:rsidR="000A5574" w:rsidRPr="00EF08AF" w:rsidRDefault="000A5574" w:rsidP="000A5574">
      <w:pPr>
        <w:pStyle w:val="ListParagraph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EF08AF">
        <w:rPr>
          <w:rFonts w:ascii="Times New Roman" w:hAnsi="Times New Roman"/>
          <w:sz w:val="26"/>
          <w:szCs w:val="26"/>
        </w:rPr>
        <w:t xml:space="preserve">Room for athletes to take a lighter load during their season.  </w:t>
      </w:r>
    </w:p>
    <w:p w:rsidR="000A5574" w:rsidRPr="00EF08AF" w:rsidRDefault="000A5574" w:rsidP="000A5574">
      <w:pPr>
        <w:rPr>
          <w:rFonts w:ascii="Times New Roman" w:hAnsi="Times New Roman"/>
          <w:sz w:val="26"/>
          <w:szCs w:val="26"/>
        </w:rPr>
      </w:pPr>
    </w:p>
    <w:p w:rsidR="0059781E" w:rsidRPr="00EF08AF" w:rsidRDefault="0059781E" w:rsidP="000A5574">
      <w:pPr>
        <w:ind w:firstLine="360"/>
        <w:rPr>
          <w:rFonts w:ascii="Times New Roman" w:hAnsi="Times New Roman"/>
          <w:sz w:val="26"/>
          <w:szCs w:val="26"/>
        </w:rPr>
      </w:pPr>
      <w:r w:rsidRPr="00EF08AF">
        <w:rPr>
          <w:rFonts w:ascii="Times New Roman" w:hAnsi="Times New Roman"/>
          <w:sz w:val="26"/>
          <w:szCs w:val="26"/>
        </w:rPr>
        <w:t xml:space="preserve">Students who bring in credit toward the program </w:t>
      </w:r>
      <w:r w:rsidR="00F52EE0" w:rsidRPr="00EF08AF">
        <w:rPr>
          <w:rFonts w:ascii="Times New Roman" w:hAnsi="Times New Roman"/>
          <w:sz w:val="26"/>
          <w:szCs w:val="26"/>
        </w:rPr>
        <w:t xml:space="preserve">or attend summer classes </w:t>
      </w:r>
      <w:r w:rsidRPr="00EF08AF">
        <w:rPr>
          <w:rFonts w:ascii="Times New Roman" w:hAnsi="Times New Roman"/>
          <w:sz w:val="26"/>
          <w:szCs w:val="26"/>
        </w:rPr>
        <w:t>do have room for</w:t>
      </w:r>
      <w:r w:rsidR="000A5574" w:rsidRPr="00EF08AF">
        <w:rPr>
          <w:rFonts w:ascii="Times New Roman" w:hAnsi="Times New Roman"/>
          <w:sz w:val="26"/>
          <w:szCs w:val="26"/>
        </w:rPr>
        <w:t xml:space="preserve"> lighter loads,</w:t>
      </w:r>
      <w:r w:rsidRPr="00EF08AF">
        <w:rPr>
          <w:rFonts w:ascii="Times New Roman" w:hAnsi="Times New Roman"/>
          <w:sz w:val="26"/>
          <w:szCs w:val="26"/>
        </w:rPr>
        <w:t xml:space="preserve"> free electives and possibly even a minor.</w:t>
      </w:r>
      <w:r w:rsidR="00F52EE0" w:rsidRPr="00EF08AF">
        <w:rPr>
          <w:rFonts w:ascii="Times New Roman" w:hAnsi="Times New Roman"/>
          <w:sz w:val="26"/>
          <w:szCs w:val="26"/>
        </w:rPr>
        <w:t xml:space="preserve">  In general, we encourage a student to delay lightening the load in order to preserve their scheduling flexibility for the years when they are taking classes on both campuses.</w:t>
      </w:r>
    </w:p>
    <w:sectPr w:rsidR="0059781E" w:rsidRPr="00EF0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324C1"/>
    <w:multiLevelType w:val="hybridMultilevel"/>
    <w:tmpl w:val="72F24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E6DEE"/>
    <w:multiLevelType w:val="hybridMultilevel"/>
    <w:tmpl w:val="4784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AE"/>
    <w:rsid w:val="000A5574"/>
    <w:rsid w:val="001E238C"/>
    <w:rsid w:val="0059781E"/>
    <w:rsid w:val="006140AA"/>
    <w:rsid w:val="006D4AAE"/>
    <w:rsid w:val="00701E08"/>
    <w:rsid w:val="00B53DF9"/>
    <w:rsid w:val="00D51982"/>
    <w:rsid w:val="00EF08AF"/>
    <w:rsid w:val="00F5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7551F-BFE7-4826-A20E-93268C7F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AAE"/>
    <w:pPr>
      <w:spacing w:after="0" w:line="240" w:lineRule="auto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4AAE"/>
    <w:pPr>
      <w:spacing w:after="12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5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Marian University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Thomas</dc:creator>
  <cp:keywords/>
  <dc:description/>
  <cp:lastModifiedBy>Lynn Thomas</cp:lastModifiedBy>
  <cp:revision>5</cp:revision>
  <dcterms:created xsi:type="dcterms:W3CDTF">2014-09-11T18:30:00Z</dcterms:created>
  <dcterms:modified xsi:type="dcterms:W3CDTF">2014-09-11T18:56:00Z</dcterms:modified>
</cp:coreProperties>
</file>